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zh-CN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zh-CN"/>
        </w:rPr>
        <w:t>Аналитическая записка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zh-CN"/>
        </w:rPr>
        <w:t xml:space="preserve">о результатах оценки эффективности предоставленных налоговых расходов 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zh-CN"/>
        </w:rPr>
        <w:t>сельского поселения Сосновка за 202</w:t>
      </w:r>
      <w:r>
        <w:rPr>
          <w:rFonts w:hint="default" w:ascii="Times New Roman" w:hAnsi="Times New Roman" w:eastAsia="Calibri" w:cs="Times New Roman"/>
          <w:b/>
          <w:bCs/>
          <w:sz w:val="24"/>
          <w:szCs w:val="24"/>
          <w:lang w:val="ru-RU" w:eastAsia="zh-CN"/>
        </w:rPr>
        <w:t>1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zh-CN"/>
        </w:rPr>
        <w:t xml:space="preserve"> год</w:t>
      </w:r>
    </w:p>
    <w:p>
      <w:pPr>
        <w:suppressAutoHyphens/>
        <w:spacing w:after="0" w:line="240" w:lineRule="auto"/>
        <w:ind w:left="360"/>
        <w:jc w:val="center"/>
        <w:rPr>
          <w:rFonts w:ascii="Times New Roman" w:hAnsi="Times New Roman" w:eastAsia="Calibri" w:cs="Times New Roman"/>
          <w:b/>
          <w:sz w:val="24"/>
          <w:szCs w:val="24"/>
          <w:lang w:eastAsia="zh-CN"/>
        </w:rPr>
      </w:pPr>
    </w:p>
    <w:p>
      <w:pPr>
        <w:suppressAutoHyphens/>
        <w:spacing w:after="0" w:line="240" w:lineRule="auto"/>
        <w:ind w:firstLine="851"/>
        <w:jc w:val="both"/>
        <w:rPr>
          <w:rFonts w:ascii="Times New Roman" w:hAnsi="Times New Roman" w:eastAsia="Calibri" w:cs="Times New Roman"/>
          <w:b/>
          <w:sz w:val="24"/>
          <w:szCs w:val="24"/>
          <w:lang w:eastAsia="zh-CN"/>
        </w:rPr>
      </w:pPr>
    </w:p>
    <w:p>
      <w:pPr>
        <w:suppressAutoHyphens/>
        <w:spacing w:after="0" w:line="240" w:lineRule="auto"/>
        <w:ind w:firstLine="660" w:firstLineChars="275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sz w:val="24"/>
          <w:szCs w:val="24"/>
          <w:lang w:eastAsia="zh-CN"/>
        </w:rPr>
        <w:t>Оценка эффективности предоставленных налоговых расходов сельского поселения Сосновка  (далее - поселения) за 202</w:t>
      </w:r>
      <w:r>
        <w:rPr>
          <w:rFonts w:hint="default" w:ascii="Times New Roman" w:hAnsi="Times New Roman" w:eastAsia="Calibri" w:cs="Times New Roman"/>
          <w:sz w:val="24"/>
          <w:szCs w:val="24"/>
          <w:lang w:val="ru-RU" w:eastAsia="zh-CN"/>
        </w:rPr>
        <w:t>1</w:t>
      </w:r>
      <w:r>
        <w:rPr>
          <w:rFonts w:ascii="Times New Roman" w:hAnsi="Times New Roman" w:eastAsia="Calibri" w:cs="Times New Roman"/>
          <w:sz w:val="24"/>
          <w:szCs w:val="24"/>
          <w:lang w:eastAsia="zh-CN"/>
        </w:rPr>
        <w:t xml:space="preserve"> год проведена в соответствии с Порядком, утверждённым постановлением администрации Белоярского района от 20 августа 2020 года № 738 «Об утверждении Порядка оценки налоговых расходов Белоярского района и поселений в границах Белоярского района» (далее - Порядок). Направлена на оптимизацию перечня налоговых преференций, установленных нормативными правовыми актами представительных органов местного самоуправления поселения по налогам и сборам, обеспечение оптимального выбора объектов для предоставления государственной (муниципальной) поддержки в виде данных налоговых преференций.</w:t>
      </w:r>
    </w:p>
    <w:p>
      <w:pPr>
        <w:suppressAutoHyphens/>
        <w:spacing w:after="0" w:line="240" w:lineRule="auto"/>
        <w:ind w:firstLine="660" w:firstLineChars="275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sz w:val="24"/>
          <w:szCs w:val="24"/>
          <w:lang w:eastAsia="zh-CN"/>
        </w:rPr>
        <w:t>Перечень налоговых расходов поселения (далее - Перечень) сформирован Комитетом по финансам и налоговой политике администрации Белоярского района в соответствии с Порядком, утверждённым постановлением администрации Белоярского района от 23 июня 2020 года № 550 «Об утверждении Порядка формирования перечня налоговых расходов Белоярского района и поселений в границах Белоярского района».</w:t>
      </w:r>
    </w:p>
    <w:p>
      <w:pPr>
        <w:suppressAutoHyphens/>
        <w:spacing w:after="0" w:line="240" w:lineRule="auto"/>
        <w:ind w:firstLine="660" w:firstLineChars="275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sz w:val="24"/>
          <w:szCs w:val="24"/>
          <w:lang w:eastAsia="zh-CN"/>
        </w:rPr>
        <w:t>В Перечень включено 1</w:t>
      </w:r>
      <w:r>
        <w:rPr>
          <w:rFonts w:hint="default" w:ascii="Times New Roman" w:hAnsi="Times New Roman" w:eastAsia="Calibri" w:cs="Times New Roman"/>
          <w:sz w:val="24"/>
          <w:szCs w:val="24"/>
          <w:lang w:val="ru-RU" w:eastAsia="zh-CN"/>
        </w:rPr>
        <w:t>1</w:t>
      </w:r>
      <w:r>
        <w:rPr>
          <w:rFonts w:ascii="Times New Roman" w:hAnsi="Times New Roman" w:eastAsia="Calibri" w:cs="Times New Roman"/>
          <w:sz w:val="24"/>
          <w:szCs w:val="24"/>
          <w:lang w:eastAsia="zh-CN"/>
        </w:rPr>
        <w:t xml:space="preserve"> видов налоговых расходов, обусловленных льготами, пониженными ставками и иными преференциями по местным налогам (земельный налог, налог на имущество физических лиц), установленными решениями Совета депутатов поселения. Налоговые расходы соответствуют целям одной муниципальной программы поселения, 4 целям  муниципальных программ Белоярского района  и </w:t>
      </w:r>
      <w:r>
        <w:rPr>
          <w:rFonts w:hint="default" w:ascii="Times New Roman" w:hAnsi="Times New Roman" w:eastAsia="Calibri" w:cs="Times New Roman"/>
          <w:sz w:val="24"/>
          <w:szCs w:val="24"/>
          <w:lang w:val="ru-RU" w:eastAsia="zh-CN"/>
        </w:rPr>
        <w:t>3</w:t>
      </w:r>
      <w:r>
        <w:rPr>
          <w:rFonts w:ascii="Times New Roman" w:hAnsi="Times New Roman" w:eastAsia="Calibri" w:cs="Times New Roman"/>
          <w:sz w:val="24"/>
          <w:szCs w:val="24"/>
          <w:lang w:eastAsia="zh-CN"/>
        </w:rPr>
        <w:t xml:space="preserve"> целям социально-экономического развития Белоярского района до 2030 года, не относящимся к муниципальным программам района, в рамках переданных полномочий.</w:t>
      </w:r>
    </w:p>
    <w:p>
      <w:pPr>
        <w:suppressAutoHyphens/>
        <w:spacing w:after="0" w:line="240" w:lineRule="auto"/>
        <w:ind w:firstLine="660" w:firstLineChars="275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sz w:val="24"/>
          <w:szCs w:val="24"/>
          <w:lang w:eastAsia="zh-CN"/>
        </w:rPr>
        <w:t>Определены типы налоговых расходов в зависимости от целевой категории: стимулирующие, социальные и технические.</w:t>
      </w:r>
    </w:p>
    <w:p>
      <w:pPr>
        <w:suppressAutoHyphens/>
        <w:spacing w:after="0" w:line="240" w:lineRule="auto"/>
        <w:ind w:firstLine="660" w:firstLineChars="275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sz w:val="24"/>
          <w:szCs w:val="24"/>
          <w:lang w:eastAsia="zh-CN"/>
        </w:rPr>
        <w:t>Оценка эффективности предоставленных налоговых расходов проведена кураторами налоговых расходов поселения, на основе результатов которых подготовлена настоящая Аналитическая записка и сводный отчет об оценке эффективности предоставленных налоговых расходов поселения за 202</w:t>
      </w:r>
      <w:r>
        <w:rPr>
          <w:rFonts w:hint="default" w:ascii="Times New Roman" w:hAnsi="Times New Roman" w:eastAsia="Calibri" w:cs="Times New Roman"/>
          <w:sz w:val="24"/>
          <w:szCs w:val="24"/>
          <w:lang w:val="ru-RU" w:eastAsia="zh-CN"/>
        </w:rPr>
        <w:t>1</w:t>
      </w:r>
      <w:r>
        <w:rPr>
          <w:rFonts w:ascii="Times New Roman" w:hAnsi="Times New Roman" w:eastAsia="Calibri" w:cs="Times New Roman"/>
          <w:sz w:val="24"/>
          <w:szCs w:val="24"/>
          <w:lang w:eastAsia="zh-CN"/>
        </w:rPr>
        <w:t xml:space="preserve"> год (приложение</w:t>
      </w:r>
      <w:r>
        <w:rPr>
          <w:rFonts w:hint="default" w:ascii="Times New Roman" w:hAnsi="Times New Roman" w:eastAsia="Calibri" w:cs="Times New Roman"/>
          <w:sz w:val="24"/>
          <w:szCs w:val="24"/>
          <w:lang w:val="ru-RU" w:eastAsia="zh-CN"/>
        </w:rPr>
        <w:t xml:space="preserve"> 2</w:t>
      </w:r>
      <w:r>
        <w:rPr>
          <w:rFonts w:ascii="Times New Roman" w:hAnsi="Times New Roman" w:eastAsia="Calibri" w:cs="Times New Roman"/>
          <w:sz w:val="24"/>
          <w:szCs w:val="24"/>
          <w:lang w:eastAsia="zh-CN"/>
        </w:rPr>
        <w:t xml:space="preserve"> к аналитической записке).</w:t>
      </w:r>
    </w:p>
    <w:p>
      <w:pPr>
        <w:suppressAutoHyphens/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sz w:val="24"/>
          <w:szCs w:val="24"/>
          <w:lang w:eastAsia="zh-CN"/>
        </w:rPr>
        <w:t>Информация о структуре и динамике налоговых расходов поселения по видам налогов за 201</w:t>
      </w:r>
      <w:r>
        <w:rPr>
          <w:rFonts w:hint="default" w:ascii="Times New Roman" w:hAnsi="Times New Roman" w:eastAsia="Calibri" w:cs="Times New Roman"/>
          <w:sz w:val="24"/>
          <w:szCs w:val="24"/>
          <w:lang w:val="ru-RU" w:eastAsia="zh-CN"/>
        </w:rPr>
        <w:t>9</w:t>
      </w:r>
      <w:r>
        <w:rPr>
          <w:rFonts w:ascii="Times New Roman" w:hAnsi="Times New Roman" w:eastAsia="Calibri" w:cs="Times New Roman"/>
          <w:sz w:val="24"/>
          <w:szCs w:val="24"/>
          <w:lang w:eastAsia="zh-CN"/>
        </w:rPr>
        <w:t xml:space="preserve"> – 202</w:t>
      </w:r>
      <w:r>
        <w:rPr>
          <w:rFonts w:hint="default" w:ascii="Times New Roman" w:hAnsi="Times New Roman" w:eastAsia="Calibri" w:cs="Times New Roman"/>
          <w:sz w:val="24"/>
          <w:szCs w:val="24"/>
          <w:lang w:val="ru-RU" w:eastAsia="zh-CN"/>
        </w:rPr>
        <w:t>1</w:t>
      </w:r>
      <w:r>
        <w:rPr>
          <w:rFonts w:ascii="Times New Roman" w:hAnsi="Times New Roman" w:eastAsia="Calibri" w:cs="Times New Roman"/>
          <w:sz w:val="24"/>
          <w:szCs w:val="24"/>
          <w:lang w:eastAsia="zh-CN"/>
        </w:rPr>
        <w:t xml:space="preserve"> годы представлена в таблице 1. </w:t>
      </w:r>
    </w:p>
    <w:p>
      <w:pPr>
        <w:widowControl w:val="0"/>
        <w:suppressAutoHyphens/>
        <w:autoSpaceDE w:val="0"/>
        <w:spacing w:after="0" w:line="240" w:lineRule="auto"/>
        <w:ind w:firstLine="709"/>
        <w:jc w:val="right"/>
        <w:textAlignment w:val="baseline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sz w:val="24"/>
          <w:szCs w:val="24"/>
          <w:lang w:eastAsia="zh-CN"/>
        </w:rPr>
        <w:t>Таблица 1</w:t>
      </w:r>
    </w:p>
    <w:p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Calibri" w:cs="Times New Roman"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hAnsi="Times New Roman" w:eastAsia="Calibri" w:cs="Times New Roman"/>
          <w:b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zh-CN"/>
        </w:rPr>
        <w:t xml:space="preserve">Структура и динамика налоговых расходов поселения </w:t>
      </w:r>
    </w:p>
    <w:p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hAnsi="Times New Roman" w:eastAsia="Calibri" w:cs="Times New Roman"/>
          <w:b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zh-CN"/>
        </w:rPr>
        <w:t>по видам налогов за 201</w:t>
      </w:r>
      <w:r>
        <w:rPr>
          <w:rFonts w:hint="default" w:ascii="Times New Roman" w:hAnsi="Times New Roman" w:eastAsia="Calibri" w:cs="Times New Roman"/>
          <w:b/>
          <w:sz w:val="24"/>
          <w:szCs w:val="24"/>
          <w:lang w:val="ru-RU" w:eastAsia="zh-CN"/>
        </w:rPr>
        <w:t>9</w:t>
      </w:r>
      <w:r>
        <w:rPr>
          <w:rFonts w:ascii="Times New Roman" w:hAnsi="Times New Roman" w:eastAsia="Calibri" w:cs="Times New Roman"/>
          <w:b/>
          <w:sz w:val="24"/>
          <w:szCs w:val="24"/>
          <w:lang w:eastAsia="zh-CN"/>
        </w:rPr>
        <w:t xml:space="preserve"> – 202</w:t>
      </w:r>
      <w:r>
        <w:rPr>
          <w:rFonts w:hint="default" w:ascii="Times New Roman" w:hAnsi="Times New Roman" w:eastAsia="Calibri" w:cs="Times New Roman"/>
          <w:b/>
          <w:sz w:val="24"/>
          <w:szCs w:val="24"/>
          <w:lang w:val="ru-RU" w:eastAsia="zh-CN"/>
        </w:rPr>
        <w:t>1</w:t>
      </w:r>
      <w:r>
        <w:rPr>
          <w:rFonts w:ascii="Times New Roman" w:hAnsi="Times New Roman" w:eastAsia="Calibri" w:cs="Times New Roman"/>
          <w:b/>
          <w:sz w:val="24"/>
          <w:szCs w:val="24"/>
          <w:lang w:eastAsia="zh-CN"/>
        </w:rPr>
        <w:t xml:space="preserve"> годы</w:t>
      </w:r>
    </w:p>
    <w:p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Times New Roman" w:hAnsi="Times New Roman" w:eastAsia="Times New Roman" w:cs="Times New Roman"/>
          <w:b/>
          <w:kern w:val="2"/>
          <w:sz w:val="20"/>
          <w:szCs w:val="20"/>
          <w:lang w:eastAsia="zh-CN"/>
        </w:rPr>
      </w:pPr>
      <w:r>
        <w:rPr>
          <w:rFonts w:ascii="Times New Roman" w:hAnsi="Times New Roman" w:eastAsia="Times New Roman" w:cs="Times New Roman"/>
          <w:b/>
          <w:kern w:val="2"/>
          <w:sz w:val="20"/>
          <w:szCs w:val="20"/>
          <w:lang w:eastAsia="zh-CN"/>
        </w:rPr>
        <w:t>(тыс.рублей)</w:t>
      </w:r>
    </w:p>
    <w:tbl>
      <w:tblPr>
        <w:tblStyle w:val="3"/>
        <w:tblW w:w="9842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252"/>
        <w:gridCol w:w="1614"/>
        <w:gridCol w:w="1538"/>
        <w:gridCol w:w="15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Наименование показателей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2019 год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b/>
                <w:kern w:val="2"/>
                <w:sz w:val="24"/>
                <w:szCs w:val="24"/>
                <w:lang w:val="ru-RU" w:eastAsia="zh-CN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Calibri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zh-CN"/>
              </w:rPr>
              <w:t>Объем налоговых и неналоговых доходов бюджета поселения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16 699,4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18 109,7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19 437,8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Налоговые расходы, обусловленные льготами, пониженными ставками и иными преференциями, установленными муниципальными правовыми актами представительного органа поселения по налогам и сборам, всего: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495,2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419,6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427,6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 xml:space="preserve"> 1.2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Темп роста (снижения) суммы налоговых расходов к предыдущему году, %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117,0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84,7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101,9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В процентах к объему налоговых и неналоговых доходов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3,0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2,3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2,2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 xml:space="preserve">Поступления по  земельному налогу 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31,5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35,8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40,7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Выпадающие доходы, обусловленные предоставленными преференциями в соответствии с решением Совета депутатов сельского поселения Сосновка от 23.11.2010 года № 34 «О земельном налоге на территории сельского поселения Сосновка»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164,2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99,6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93,6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Темп роста (снижения) суммы налоговых расходов к предыдущему году, %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60,6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94,0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В процентах к поступлению по земельному налогу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521,3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278,2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 xml:space="preserve">Поступления по налогу на имущество физических лиц 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167,9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182,7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347,9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 xml:space="preserve">Выпадающие доходы, обусловленные предоставленными преференциями в соответствии с решением Совета депутатов сельского поселения Сосновка от 13.11.2014 года № 34 «Об утверждении Положения о налоге на имущество физических лиц на  территории сельского поселения Сосновка» 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331,0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320,0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334,0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3.2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Темп роста (снижения) суммы налоговых расходов к предыдущему году, %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127,8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96,7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104,4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3.3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В процентах к поступлению по налогу на имущество физических лиц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197,1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175,1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96,0</w:t>
            </w:r>
          </w:p>
        </w:tc>
      </w:tr>
    </w:tbl>
    <w:p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Информация о структуре типов налоговых расходов поселения за период 201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9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– 202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1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годов представлена в таблице 2.</w:t>
      </w:r>
    </w:p>
    <w:p>
      <w:pPr>
        <w:widowControl w:val="0"/>
        <w:suppressAutoHyphens/>
        <w:spacing w:after="0" w:line="240" w:lineRule="auto"/>
        <w:ind w:firstLine="709"/>
        <w:jc w:val="right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Таблица 2</w:t>
      </w:r>
    </w:p>
    <w:p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</w:pPr>
    </w:p>
    <w:p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</w:pPr>
    </w:p>
    <w:p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  <w:t>Структура типов налоговых расходов поселения за период 2019 – 202</w:t>
      </w:r>
      <w:r>
        <w:rPr>
          <w:rFonts w:hint="default" w:ascii="Times New Roman" w:hAnsi="Times New Roman" w:eastAsia="Times New Roman" w:cs="Times New Roman"/>
          <w:b/>
          <w:kern w:val="2"/>
          <w:sz w:val="24"/>
          <w:szCs w:val="24"/>
          <w:lang w:val="ru-RU" w:eastAsia="zh-CN"/>
        </w:rPr>
        <w:t>1</w:t>
      </w:r>
      <w:r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  <w:t xml:space="preserve"> годов</w:t>
      </w:r>
    </w:p>
    <w:p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kern w:val="2"/>
          <w:sz w:val="32"/>
          <w:szCs w:val="32"/>
          <w:lang w:eastAsia="zh-CN"/>
        </w:rPr>
      </w:pPr>
    </w:p>
    <w:tbl>
      <w:tblPr>
        <w:tblStyle w:val="3"/>
        <w:tblW w:w="9842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1156"/>
        <w:gridCol w:w="828"/>
        <w:gridCol w:w="1197"/>
        <w:gridCol w:w="788"/>
        <w:gridCol w:w="1134"/>
        <w:gridCol w:w="10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Наименование показателей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2019год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val="ru-RU" w:eastAsia="zh-CN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тыс. рублей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тыс. рублей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тыс. рублей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  <w:t>Предоставленные налоговые расходы в соответствии с муниципальными правовыми актами представительного органа поселения по налогам и сборам, всего: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495,2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419,6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427,6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  <w:t>Стимулирующие налоговые расходы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333,2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67,3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320,6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76,4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332,6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77,8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  <w:t>темп роста (снижения) к предыдущему году, %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127,6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96,2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103,7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  <w:t>Технические налоговые расходы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161,0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32,5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98,0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23,4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92,0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21,5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  <w:t>темп роста (снижения) к предыдущему году, %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60,9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93,9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  <w:t>Социальные налоговые расходы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0,2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0,2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3,0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0,7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  <w:t>темп роста (снижения) к предыдущему году, %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300,0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Х</w:t>
            </w:r>
          </w:p>
        </w:tc>
      </w:tr>
    </w:tbl>
    <w:p>
      <w:pPr>
        <w:suppressAutoHyphens/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</w:p>
    <w:p>
      <w:pPr>
        <w:widowControl w:val="0"/>
        <w:tabs>
          <w:tab w:val="left" w:pos="709"/>
          <w:tab w:val="left" w:pos="189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Основной объем налоговых расходов поселения в 202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1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году приходится на стимулирующие льготы, их доля в общем объеме предоставленных налоговых льгот составила 7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7,8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% , на втором месте технические налоговые льготы (2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1,5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%). Налоговые льготы социальной направленности занимают лишь 0,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7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% в общем объеме предоставленных налоговых льгот на территории поселения за 202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1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год.</w:t>
      </w:r>
    </w:p>
    <w:p>
      <w:pPr>
        <w:widowControl w:val="0"/>
        <w:tabs>
          <w:tab w:val="left" w:pos="709"/>
          <w:tab w:val="left" w:pos="189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tabs>
          <w:tab w:val="left" w:pos="709"/>
          <w:tab w:val="left" w:pos="189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tabs>
          <w:tab w:val="left" w:pos="426"/>
        </w:tabs>
        <w:suppressAutoHyphens/>
        <w:autoSpaceDE w:val="0"/>
        <w:spacing w:after="0" w:line="240" w:lineRule="auto"/>
        <w:contextualSpacing/>
        <w:jc w:val="center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b/>
          <w:bCs/>
          <w:kern w:val="2"/>
          <w:sz w:val="24"/>
          <w:szCs w:val="24"/>
        </w:rPr>
        <w:t>1. Эффективность налоговых расходов по земельному налогу</w:t>
      </w:r>
    </w:p>
    <w:p>
      <w:pPr>
        <w:widowControl w:val="0"/>
        <w:tabs>
          <w:tab w:val="left" w:pos="426"/>
        </w:tabs>
        <w:suppressAutoHyphens/>
        <w:autoSpaceDE w:val="0"/>
        <w:spacing w:after="0" w:line="240" w:lineRule="auto"/>
        <w:contextualSpacing/>
        <w:jc w:val="center"/>
        <w:textAlignment w:val="baseline"/>
        <w:rPr>
          <w:rFonts w:ascii="Times New Roman" w:hAnsi="Times New Roman" w:eastAsia="Calibri" w:cs="Times New Roman"/>
          <w:b/>
          <w:bCs/>
          <w:kern w:val="2"/>
          <w:sz w:val="28"/>
          <w:szCs w:val="28"/>
        </w:rPr>
      </w:pPr>
    </w:p>
    <w:p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В соответствии с решением Совета депутатов сельского поселения Сосновка от 23.11.2010 года № 34 «О земельном налоге на территории сельского поселения Сосновка» налоговые расходы представлены в виде налоговых льгот для отдельных категорий физических и юридических лиц.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Оценка эффективности проведена кураторами налоговых расходов поселения по 6 видам налоговых расходов (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1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стимулирующ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ему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, 3 техническим и 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2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социальны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м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), распределенным по 4 муниципальным программам в соответствии с показателями достижения целей и 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3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видам непрограммных налоговых расхода, отвечающему целям социально-экономического развития Белоярского района, в рамках переданных полномочий (таблица 3,4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приложения 1 к аналитической записке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).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В 202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1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году право на применение льгот по земельному налогу предоставлено 8 льготным категориям налогоплательщиков. Фактически в 202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1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году  льготами воспользовались 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3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льготные категории налогоплательщиков, в том числе;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-  налогоплательщики - юридические лица  - 6 единиц (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3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льготные категории);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- налогоплательщики - физические лица - 0 единиц. 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numPr>
          <w:ilvl w:val="0"/>
          <w:numId w:val="1"/>
        </w:num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i/>
          <w:kern w:val="2"/>
          <w:sz w:val="24"/>
          <w:szCs w:val="24"/>
          <w:lang w:eastAsia="zh-CN"/>
        </w:rPr>
        <w:t>В муниципальную программу сельского поселения Сосновка «Реализация полномочий органов местного самоуправления сельского поселения Сосновка»,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ответственным исполнителем которой является Администрация сельского поселения Сосновка, включены 2 вида технических налоговых расходов, в том числе: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u w:val="single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u w:val="single"/>
          <w:lang w:eastAsia="zh-CN"/>
        </w:rPr>
        <w:t>Налоговый расход «освобождение от уплаты налога органов местного самоуправления поселения»: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-соответствуют цели муниципальной программы поселения «Повешение качества управления муниципальными финансами, обеспечение финансовой устойчивости и долгосрочной сбалансированности бюджета поселения»;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-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востребованность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данной льготы имеет положительную динамику, в 2021 году льготой воспользовался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1 налогоплательщик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(за налоговый период 2017-2020 годов льгота была невостребована);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- общий объем налоговой льготы составил 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9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,0 тыс.рублей или 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9,6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% от всех налоговых расходов  по земельному налогу.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</w:pP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u w:val="single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u w:val="single"/>
          <w:lang w:eastAsia="zh-CN"/>
        </w:rPr>
        <w:t>Налоговый расход «</w:t>
      </w:r>
      <w:r>
        <w:rPr>
          <w:rFonts w:ascii="Times New Roman" w:hAnsi="Times New Roman" w:eastAsia="Times New Roman" w:cs="Times New Roman"/>
          <w:kern w:val="2"/>
          <w:sz w:val="24"/>
          <w:szCs w:val="24"/>
          <w:u w:val="single"/>
          <w:lang w:val="ru-RU" w:eastAsia="zh-CN"/>
        </w:rPr>
        <w:t>О</w:t>
      </w:r>
      <w:r>
        <w:rPr>
          <w:rFonts w:ascii="Times New Roman" w:hAnsi="Times New Roman" w:eastAsia="Times New Roman" w:cs="Times New Roman"/>
          <w:kern w:val="2"/>
          <w:sz w:val="24"/>
          <w:szCs w:val="24"/>
          <w:u w:val="single"/>
          <w:lang w:eastAsia="zh-CN"/>
        </w:rPr>
        <w:t>свобождение от уплаты налога муниципальных учреждений поселения»: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-соответствует цели муниципальной программы поселения «Обеспечение муниципальных учреждений поселения необходимыми ресурсами для выполнения своих полномочий»;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-востребованность предоставленной льготы за период 201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7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-202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1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годов ниже рекомендуемого значения, но имеет положительную  динамику (за период 201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7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-2019 годов данной льготой ежегодно пользовались 2 муниципальных учреждения поселения, в 2020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- 2021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году - 4 муниципальных учреждения поселения); 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- общая сумма налоговой льготы за 202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1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год составила 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83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,0 тыс.рублей или 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8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8,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7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% от всех налоговых расходов  по земельному налогу.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На основании вышеизложенного, кураторам налоговых расходов  предложено сохранить вышеуказанные налоговые льготы, так как они направлены на исключение встречных финансовых потоков, оптимизацию бюджетных расходов.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numPr>
          <w:ilvl w:val="0"/>
          <w:numId w:val="1"/>
        </w:num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i/>
          <w:kern w:val="2"/>
          <w:sz w:val="24"/>
          <w:szCs w:val="24"/>
          <w:lang w:eastAsia="zh-CN"/>
        </w:rPr>
        <w:t>В муниципальную программу Белоярского района «Управление муниципальными финансами в Белоярском районе»,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ответственным исполнителем которой является Комитет по финансам и налоговой политике администрации Белоярского района включен 1 вид технических налоговых расходов, который соответствуют цели муниципальной программы: «Повышение качества управления муниципальными финансами, обеспечение финансовой устойчивости и долгосрочной сбалансированности бюджетной системы Белоярского района».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Налоговый расход за 5-летний период не был востребован плательщиками, в виду отсутствия у муниципальных учреждений Белоярского района в муниципальной собственности земельных участков, находящихся на территории поселения. Но, принимая во внимание, что льгота направлена на исключение встречных финансовых потоков, оптимизацию бюджетных расходов,  может быть востребована в последующие налоговые периоды, куратором налоговых расходов (Комитетом по финансам и налоговой политике администрации Белоярского района) предложено сохранить данную налоговую льготу.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i/>
          <w:kern w:val="2"/>
          <w:sz w:val="24"/>
          <w:szCs w:val="24"/>
          <w:lang w:eastAsia="zh-CN"/>
        </w:rPr>
        <w:t xml:space="preserve">3. В муниципальную программу Белоярского района «Развитие социальной политики на территории Белоярского районах»,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ответственным исполнителем которой является Управление по охране труда и социальной политики администрации Белоярского района включены 2 социальных налоговых расхода, в том числе: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u w:val="single"/>
          <w:lang w:eastAsia="zh-CN"/>
        </w:rPr>
        <w:t>«Освобождение от уплаты налога ветеранов и инвалидов Великой Отечественной войны».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Налоговый расход соответствует цели муниципальной программы «Социальная поддержка отдельных категорий граждан, повышение качества жизни жителей Белоярского района».</w:t>
      </w:r>
      <w:r>
        <w:t xml:space="preserve">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Не был востребован налогоплательщиками более 5 лет. Учитывая его социальную направленность - поддержка социально-незащищенных слоев населения, куратором налоговых расходов (Управлением по охране труда и социальной политики администрации Белоярского района) предлагается сохранить данные налоговые расходы.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u w:val="single"/>
          <w:lang w:eastAsia="zh-CN"/>
        </w:rPr>
        <w:t>«Освобождение от уплаты налога социально ориентированных некоммерческих организаций».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Налоговый расход соответствует цели муниципальной программы «Создание условий для развития институтов гражданского общества и реализация гражданских инициатив». На протяжении 5-летнего периода не был востребован налогоплательщиками. Учитывая необходимость развития некоммерческого сектора экономики, предоставляющего, в том числе услуги социального характера, институтов гражданского общества, использования потенциала социально ориентированных некоммерческих организаций, куратором налоговых расходов (Управлением по охране труда и социальной политики администрации Белоярского района) предлагается сохранить данные налоговые расходы.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i/>
          <w:kern w:val="2"/>
          <w:sz w:val="24"/>
          <w:szCs w:val="24"/>
          <w:lang w:eastAsia="zh-CN"/>
        </w:rPr>
        <w:t xml:space="preserve">4. В муниципальную программу Белоярского района «Обеспечение доступным и комфортным жильем жителей Белоярского района»,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ответственным исполнителем которой является Управление по архитектуре и градостроительству администрации Белоярского района, включен 1 вид налогового расхода стимулирующего характера «Установление пониженной ставки по налогу для владельцев земельных участков, предназначенных для размещения домов индивидуальной жилой застройки».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Данный налоговый расход соответствует цели муниципальной программы: «Содействие развитию жилищного строительства на территории Белоярского района». На протяжении 5-летнего периода налоговый расход не был востребован, в тоже время потенциальными получателями данной налоговой льготы являются 4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9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налогоплательщиков и льгота может быть востребована в последующие налоговые периоды. Куратором налогового расхода (Управлением по архитектуре и градостроительству администрации Белоярского района) предлагается сохранить данную налоговую льготу.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numPr>
          <w:ilvl w:val="0"/>
          <w:numId w:val="2"/>
        </w:num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i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i/>
          <w:kern w:val="2"/>
          <w:sz w:val="24"/>
          <w:szCs w:val="24"/>
          <w:lang w:eastAsia="zh-CN"/>
        </w:rPr>
        <w:t>К непрограммным налоговым расходам, соответствующим целям Стратегии социально-экономического развития Белоярского района до 2030 года (далее - Стратегии), относятся 2 вида стимулирующих налоговых расхода, в том числе: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/>
          <w:iCs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u w:val="single"/>
          <w:lang w:eastAsia="zh-CN"/>
        </w:rPr>
        <w:t>Налоговый расход «</w:t>
      </w:r>
      <w:r>
        <w:rPr>
          <w:rFonts w:ascii="Times New Roman" w:hAnsi="Times New Roman" w:eastAsia="Times New Roman"/>
          <w:iCs/>
          <w:kern w:val="2"/>
          <w:sz w:val="24"/>
          <w:szCs w:val="24"/>
          <w:u w:val="single"/>
          <w:lang w:eastAsia="zh-CN"/>
        </w:rPr>
        <w:t>Освобождение от уплаты налога организаций в отношении земельных участков, в границах которых реализуются инвестиционные проекты в соответствии с соглашением о защите и поощрении капиталовложений»</w:t>
      </w:r>
      <w:r>
        <w:rPr>
          <w:rFonts w:ascii="Times New Roman" w:hAnsi="Times New Roman" w:eastAsia="Times New Roman"/>
          <w:iCs/>
          <w:kern w:val="2"/>
          <w:sz w:val="24"/>
          <w:szCs w:val="24"/>
          <w:lang w:eastAsia="zh-CN"/>
        </w:rPr>
        <w:t xml:space="preserve"> (куратор - Управление экономики, реформ и программ администрации Белоярского района).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Данный налоговый расход  соответствует цели Стратегии: «</w:t>
      </w:r>
      <w:r>
        <w:rPr>
          <w:rFonts w:ascii="Times New Roman" w:hAnsi="Times New Roman" w:eastAsia="Times New Roman"/>
          <w:kern w:val="2"/>
          <w:sz w:val="24"/>
          <w:szCs w:val="24"/>
          <w:lang w:eastAsia="zh-CN"/>
        </w:rPr>
        <w:t>Оказание поддержки реализуемых и планируемых к реализации инвестиционных проектов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». Вступил в силу с                   01 января 2021 года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, направлен на развитие экономики поселения, улучшение делового климата, поддержку реализуемых и планируемых к реализации инвестиционных проектов. В 2021 году льгота была не востребована по причине отсутствия заявителей. Учитывая направленность налоговой льготы, возможную востребовательность в последующие налоговые периоды, куратором налогового расхода предлагается сохранить налоговый расход.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/>
          <w:iCs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/>
          <w:iCs/>
          <w:kern w:val="2"/>
          <w:sz w:val="24"/>
          <w:szCs w:val="24"/>
          <w:u w:val="single"/>
          <w:lang w:eastAsia="zh-CN"/>
        </w:rPr>
        <w:t>Налоговый расход «Установление пониженной ставки по налогу для организаций, деятельность которых направлена на обеспечение решения социально значимых направлений функционирования поселения»</w:t>
      </w:r>
      <w:r>
        <w:rPr>
          <w:rFonts w:ascii="Times New Roman" w:hAnsi="Times New Roman" w:eastAsia="Times New Roman"/>
          <w:iCs/>
          <w:kern w:val="2"/>
          <w:sz w:val="24"/>
          <w:szCs w:val="24"/>
          <w:lang w:eastAsia="zh-CN"/>
        </w:rPr>
        <w:t xml:space="preserve"> (куратор - Управление экономики, реформ и программ администрации Белоярского района).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Данный налоговый расход соответствует цели Стратегии: «</w:t>
      </w:r>
      <w:r>
        <w:rPr>
          <w:rFonts w:ascii="Times New Roman" w:hAnsi="Times New Roman" w:eastAsia="Times New Roman"/>
          <w:kern w:val="2"/>
          <w:sz w:val="24"/>
          <w:szCs w:val="24"/>
          <w:lang w:eastAsia="zh-CN"/>
        </w:rPr>
        <w:t>Накопление и сохранение человеческого капитала». В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остребованность данной льготы за период 201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7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-202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1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годов ниже рекомендуемого значения, но имеет стабильную динамику (на протяжении пяти лет льготой пользуются 1 социально-значимое учреждение поселения). Общая сумма налоговой льготы составила 1,60 тыс.рублей или 1,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7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% от всех налоговых расходов по земельному налогу.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Куратором данного  налогового расхода предложено его сохранить с целью обеспечения потребностей населения сельского поселения в услугах социально-значимого направления.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hint="default" w:ascii="Times New Roman" w:hAnsi="Times New Roman" w:eastAsia="Times New Roman"/>
          <w:iCs/>
          <w:kern w:val="2"/>
          <w:sz w:val="24"/>
          <w:szCs w:val="24"/>
          <w:lang w:val="ru-RU" w:eastAsia="zh-CN"/>
        </w:rPr>
      </w:pPr>
      <w:r>
        <w:rPr>
          <w:rFonts w:hint="default" w:ascii="Times New Roman" w:hAnsi="Times New Roman" w:eastAsia="Times New Roman" w:cs="Times New Roman"/>
          <w:kern w:val="2"/>
          <w:sz w:val="24"/>
          <w:szCs w:val="24"/>
          <w:u w:val="single"/>
          <w:lang w:val="ru-RU" w:eastAsia="zh-CN"/>
        </w:rPr>
        <w:t>Налоговый расход «</w:t>
      </w:r>
      <w:r>
        <w:rPr>
          <w:rFonts w:hint="default" w:ascii="Times New Roman" w:hAnsi="Times New Roman" w:eastAsia="Times New Roman"/>
          <w:kern w:val="2"/>
          <w:sz w:val="24"/>
          <w:szCs w:val="24"/>
          <w:u w:val="single"/>
          <w:lang w:val="ru-RU" w:eastAsia="zh-CN"/>
        </w:rPr>
        <w:t>Установление пониженной ставки для владельцев земельных участков, предназначенных для обеспечения деятельности организаций и (или) объектов связи, радиовещания, телевидения, информатики»</w:t>
      </w:r>
      <w:r>
        <w:rPr>
          <w:rFonts w:hint="default" w:ascii="Times New Roman" w:hAnsi="Times New Roman" w:eastAsia="Times New Roman"/>
          <w:kern w:val="2"/>
          <w:sz w:val="24"/>
          <w:szCs w:val="24"/>
          <w:lang w:val="ru-RU" w:eastAsia="zh-CN"/>
        </w:rPr>
        <w:t xml:space="preserve"> (куратор - Отдел по информационным ресурсам и  защите информации </w:t>
      </w:r>
      <w:r>
        <w:rPr>
          <w:rFonts w:ascii="Times New Roman" w:hAnsi="Times New Roman" w:eastAsia="Times New Roman"/>
          <w:iCs/>
          <w:kern w:val="2"/>
          <w:sz w:val="24"/>
          <w:szCs w:val="24"/>
          <w:lang w:eastAsia="zh-CN"/>
        </w:rPr>
        <w:t>администрации Белоярского района</w:t>
      </w:r>
      <w:r>
        <w:rPr>
          <w:rFonts w:hint="default" w:ascii="Times New Roman" w:hAnsi="Times New Roman" w:eastAsia="Times New Roman"/>
          <w:iCs/>
          <w:kern w:val="2"/>
          <w:sz w:val="24"/>
          <w:szCs w:val="24"/>
          <w:lang w:val="ru-RU" w:eastAsia="zh-CN"/>
        </w:rPr>
        <w:t>).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hint="default" w:ascii="Times New Roman" w:hAnsi="Times New Roman" w:eastAsia="Times New Roman"/>
          <w:iCs/>
          <w:kern w:val="2"/>
          <w:sz w:val="24"/>
          <w:szCs w:val="24"/>
          <w:lang w:val="ru-RU"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Данный налоговый расход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установлен на территории поселения в соответствии с </w:t>
      </w:r>
      <w:r>
        <w:rPr>
          <w:rFonts w:hint="default" w:ascii="Times New Roman" w:hAnsi="Times New Roman" w:eastAsia="Times New Roman"/>
          <w:kern w:val="2"/>
          <w:sz w:val="24"/>
          <w:szCs w:val="24"/>
          <w:lang w:val="ru-RU" w:eastAsia="zh-CN"/>
        </w:rPr>
        <w:t>Указом Президента Российской Федерации от 2 марта 2022 года № 83 «О мерах по обеспечению ускоренного развития отрасли информационных технологий в Российской Федерации» с целью обеспечения развития отрасли информационных технологий в Российской Федерации. Вступил в силу с 1 января 2022 года, с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оответствует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одной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из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цел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ей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eastAsia="Times New Roman"/>
          <w:kern w:val="2"/>
          <w:sz w:val="24"/>
          <w:szCs w:val="24"/>
          <w:lang w:eastAsia="zh-CN"/>
        </w:rPr>
        <w:t>Стратеги</w:t>
      </w:r>
      <w:r>
        <w:rPr>
          <w:rFonts w:hint="default" w:ascii="Times New Roman" w:hAnsi="Times New Roman" w:eastAsia="Times New Roman"/>
          <w:kern w:val="2"/>
          <w:sz w:val="24"/>
          <w:szCs w:val="24"/>
          <w:lang w:val="ru-RU" w:eastAsia="zh-CN"/>
        </w:rPr>
        <w:t>и</w:t>
      </w:r>
      <w:r>
        <w:rPr>
          <w:rFonts w:hint="default" w:ascii="Times New Roman" w:hAnsi="Times New Roman" w:eastAsia="Times New Roman"/>
          <w:kern w:val="2"/>
          <w:sz w:val="24"/>
          <w:szCs w:val="24"/>
          <w:lang w:eastAsia="zh-CN"/>
        </w:rPr>
        <w:t xml:space="preserve"> социально-экономического развития Белоярского района до 2030 года</w:t>
      </w:r>
      <w:r>
        <w:rPr>
          <w:rFonts w:hint="default" w:ascii="Times New Roman" w:hAnsi="Times New Roman" w:eastAsia="Times New Roman"/>
          <w:kern w:val="2"/>
          <w:sz w:val="24"/>
          <w:szCs w:val="24"/>
          <w:lang w:val="ru-RU" w:eastAsia="zh-CN"/>
        </w:rPr>
        <w:t xml:space="preserve"> - «Внедрение информационно - коммуникационных технологий». Выявлен 1 потенциальный получатель  вышеуказанной налоговой льготы. 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Учитывая направленность налоговой льготы, возможную востребовательность в последующие налоговые периоды, к</w:t>
      </w:r>
      <w:r>
        <w:rPr>
          <w:rFonts w:hint="default" w:ascii="Times New Roman" w:hAnsi="Times New Roman" w:eastAsia="Times New Roman"/>
          <w:kern w:val="2"/>
          <w:sz w:val="24"/>
          <w:szCs w:val="24"/>
          <w:lang w:val="ru-RU" w:eastAsia="zh-CN"/>
        </w:rPr>
        <w:t xml:space="preserve">уратором налогового расхода (Отделом по информационным ресурсам и защите информации администрации Белоярского района) налоговый расход предлагается сохранить. 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/>
          <w:iCs/>
          <w:kern w:val="2"/>
          <w:sz w:val="24"/>
          <w:szCs w:val="24"/>
          <w:lang w:eastAsia="zh-CN"/>
        </w:rPr>
      </w:pPr>
    </w:p>
    <w:p>
      <w:pPr>
        <w:widowControl w:val="0"/>
        <w:tabs>
          <w:tab w:val="left" w:pos="1276"/>
        </w:tabs>
        <w:suppressAutoHyphens/>
        <w:spacing w:after="0" w:line="240" w:lineRule="auto"/>
        <w:contextualSpacing/>
        <w:jc w:val="center"/>
        <w:textAlignment w:val="baseline"/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  <w:t>2. Эффективность налоговых расходов по налогу на имущество физических лиц</w:t>
      </w:r>
    </w:p>
    <w:p>
      <w:pPr>
        <w:widowControl w:val="0"/>
        <w:tabs>
          <w:tab w:val="left" w:pos="1276"/>
        </w:tabs>
        <w:suppressAutoHyphens/>
        <w:spacing w:after="0" w:line="240" w:lineRule="auto"/>
        <w:contextualSpacing/>
        <w:jc w:val="center"/>
        <w:textAlignment w:val="baseline"/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</w:pPr>
    </w:p>
    <w:p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В соответствии с решением Совета депутатов сельского поселения Сосновка от 13.11.2014 года № 34 «Об утверждении Положения о налоге на имущество физических лиц на  территории сельского поселения Сосновка» налоговые расходы представлены в виде налоговых льгот для отдельных категорий физических и юридических лиц.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Оценка эффективности проведена кураторами налоговых расходов по 2 видам налоговых расходов (1 стимулирующий и 1 социальный), распределенным по 2 муниципальным программам Белоярского района, в рамках переданных полномочий, в соответствии с показателями достижения целей (таблица 5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приложения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1 к аналитической записке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).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i/>
          <w:kern w:val="2"/>
          <w:sz w:val="24"/>
          <w:szCs w:val="24"/>
          <w:lang w:eastAsia="zh-CN"/>
        </w:rPr>
        <w:t xml:space="preserve">1. В муниципальную программу Белоярского района «Развитие социальной политики на территории Белоярского района»,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ответственным исполнителем которой является Управление по охране труда и социальной политики администрации Белоярского района, включен 1 социальный  налоговый расход «Освобождение от уплаты налога несовершеннолетних владельцев долей имущества».  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Данный налоговый расход соответствует цели муниципальной программы «Социальная поддержка отдельных категорий граждан, повышение качества жизни жителей Белоярского района». </w:t>
      </w:r>
      <w:r>
        <w:rPr>
          <w:rFonts w:ascii="Times New Roman" w:hAnsi="Times New Roman" w:eastAsia="Times New Roman"/>
          <w:kern w:val="2"/>
          <w:sz w:val="24"/>
          <w:szCs w:val="24"/>
          <w:lang w:eastAsia="zh-CN"/>
        </w:rPr>
        <w:t>В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остребованность данного налогового расхода за 202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1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год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выше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предыдущих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налоговых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периодов (в 2017 году – 18 налогоплательщиков, в 2018 году - 15 налогоплательщиков, в 2019 – 2020 годах - 14 налогоплательщиков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, в 2021 году  - 42 налогоплательщика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). Общая сумма налоговой льготы составила 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3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,00 тыс.рублей или 0,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9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3 % от всех налоговых расходов  по налогу на имущество физических лиц.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Куратором налоговых расходов (Управлением по охране труда и социальной политики администрации Белоярского района) предложено сохранить вышеуказанный налоговый расход, так как он направлен на поддержку социально-незащищенных слоев населения, на повышение качества жизни жителей поселения.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i/>
          <w:kern w:val="2"/>
          <w:sz w:val="24"/>
          <w:szCs w:val="24"/>
          <w:lang w:eastAsia="zh-CN"/>
        </w:rPr>
        <w:t>2. В муниципальную программу Белоярского района «Развитие малого и среднего предпринимательства  и туризма в Белоярском районе»,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ответственным исполнителем которой является Управление природопользования, сельского хозяйства и развития предпринимательства администрации Белоярского района, включен 1 вид налогового расхода стимулирующего характера «Установление пониженной ставки для индивидуальных предпринимателей – владельцев объектов недвижимого имущества», включенного в перечень, определяемый в соответствии с пунктом 7 статьи 378.2 Налогового кодекса Российской Федерации».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Данный налоговый расход соответствует цели муниципальной программы «Содействие развитию малого и среднего предпринимательства  в Белоярском районе». 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/>
          <w:kern w:val="2"/>
          <w:sz w:val="24"/>
          <w:szCs w:val="24"/>
          <w:lang w:eastAsia="zh-CN"/>
        </w:rPr>
        <w:t>В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остребованность данного налогового расхода за период 2017-202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1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годов  имеет положительную динамику (в 2017 году льготой воспользовалось 7 налогоплательщиков; в 2018 году -  7 налогоплательщиков, в 2019 году - 8 налогоплательщиков, в 2020 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- 2021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год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ах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– 11 налогоплательщиков). Общая сумма налоговой льготы составила 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332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,00 тыс.рублей или 99,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1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% от всех налоговых расходов  по налогу на имущество физических лиц.</w:t>
      </w:r>
    </w:p>
    <w:p>
      <w:pPr>
        <w:widowControl w:val="0"/>
        <w:suppressAutoHyphens/>
        <w:spacing w:after="0" w:line="240" w:lineRule="auto"/>
        <w:ind w:left="0" w:leftChars="0" w:firstLine="660" w:firstLineChars="275"/>
        <w:jc w:val="both"/>
        <w:textAlignment w:val="baseline"/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</w:pP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С 2017 года понижающая ставка, установленная на территории поселения в отношении объектов налогообложения,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включенн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ых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в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П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еречень, определяемый в соответствии с пунктом 7 статьи 378.2 Налогового кодекса Российской Федерации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составляла 1 %. </w:t>
      </w:r>
      <w:r>
        <w:rPr>
          <w:rFonts w:hint="default" w:ascii="Times New Roman" w:hAnsi="Times New Roman" w:eastAsia="Times New Roman" w:cs="Times New Roman"/>
          <w:b w:val="0"/>
          <w:color w:val="auto"/>
          <w:sz w:val="24"/>
          <w:szCs w:val="24"/>
          <w:lang w:val="ru" w:eastAsia="ru-RU" w:bidi="ar-SA"/>
        </w:rPr>
        <w:t xml:space="preserve">Исходя из текущей экономической ситуации и целей, поставленных Президентом Российской Федерации, Правительством Российской Федерации и Правительством </w:t>
      </w:r>
      <w:r>
        <w:rPr>
          <w:rFonts w:hint="default" w:ascii="Times New Roman" w:hAnsi="Times New Roman" w:eastAsia="Times New Roman" w:cs="Times New Roman"/>
          <w:b w:val="0"/>
          <w:color w:val="auto"/>
          <w:sz w:val="24"/>
          <w:szCs w:val="24"/>
          <w:highlight w:val="none"/>
          <w:lang w:val="ru" w:eastAsia="ru-RU" w:bidi="ar-SA"/>
        </w:rPr>
        <w:t>Ханты</w:t>
      </w:r>
      <w:r>
        <w:rPr>
          <w:rFonts w:hint="default" w:ascii="Times New Roman" w:hAnsi="Times New Roman" w:eastAsia="Times New Roman" w:cs="Times New Roman"/>
          <w:b w:val="0"/>
          <w:color w:val="auto"/>
          <w:sz w:val="24"/>
          <w:szCs w:val="24"/>
          <w:highlight w:val="none"/>
          <w:lang w:val="ru-RU" w:eastAsia="ru-RU" w:bidi="ar-SA"/>
        </w:rPr>
        <w:t>-Мансийского автономного округа-Югры</w:t>
      </w:r>
      <w:r>
        <w:rPr>
          <w:rFonts w:hint="default" w:ascii="Times New Roman" w:hAnsi="Times New Roman" w:eastAsia="Times New Roman" w:cs="Times New Roman"/>
          <w:b w:val="0"/>
          <w:color w:val="auto"/>
          <w:sz w:val="24"/>
          <w:szCs w:val="24"/>
          <w:highlight w:val="none"/>
          <w:lang w:val="en-US" w:eastAsia="ru-RU" w:bidi="ar-SA"/>
        </w:rPr>
        <w:t xml:space="preserve">, представительными органами поселения принято решение о снижении ставки 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 </w:t>
      </w:r>
      <w:r>
        <w:rPr>
          <w:rFonts w:hint="default" w:ascii="Times New Roman" w:hAnsi="Times New Roman" w:eastAsia="Times New Roman" w:cs="Times New Roman"/>
          <w:b w:val="0"/>
          <w:color w:val="auto"/>
          <w:sz w:val="24"/>
          <w:szCs w:val="24"/>
          <w:highlight w:val="none"/>
          <w:lang w:val="en-US" w:eastAsia="ru-RU" w:bidi="ar-SA"/>
        </w:rPr>
        <w:t xml:space="preserve">до 0,8 %  при исчислении </w:t>
      </w:r>
      <w:r>
        <w:rPr>
          <w:rFonts w:ascii="Times New Roman" w:hAnsi="Times New Roman"/>
          <w:b w:val="0"/>
          <w:bCs w:val="0"/>
          <w:kern w:val="0"/>
          <w:sz w:val="24"/>
          <w:szCs w:val="20"/>
        </w:rPr>
        <w:t xml:space="preserve">налога на имущество физических лиц </w:t>
      </w:r>
      <w:r>
        <w:rPr>
          <w:rFonts w:ascii="Times New Roman" w:hAnsi="Times New Roman"/>
          <w:b w:val="0"/>
          <w:bCs w:val="0"/>
          <w:kern w:val="0"/>
          <w:sz w:val="24"/>
          <w:szCs w:val="20"/>
          <w:lang w:val="ru-RU"/>
        </w:rPr>
        <w:t>за</w:t>
      </w:r>
      <w:r>
        <w:rPr>
          <w:rFonts w:hint="default" w:ascii="Times New Roman" w:hAnsi="Times New Roman"/>
          <w:b w:val="0"/>
          <w:bCs w:val="0"/>
          <w:kern w:val="0"/>
          <w:sz w:val="24"/>
          <w:szCs w:val="20"/>
          <w:lang w:val="ru-RU"/>
        </w:rPr>
        <w:t xml:space="preserve"> 2022 год.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Преимущества представленного налогового расхода относительно доступных альтернативных механизмов государственной (муниципальной) поддержки является его экономичность. Альтернативный механизм субсидирования расходов имеет компенсационный, целевой характер и направлен на возмещение части затрат субъектов малого и среднего предпринимательства, в то время, как налоговые льготы дают вариативность в принятии решения данной категорией плательщиков в использовании высвободившихся средств на пополнение оборотных средств и инвестиций в основной капитал. Куратором налогового расхода (Управлением природопользования, сельского хозяйства и развития предпринимательства администрации Белоярского района) предлагается сохранить данную льготу.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tabs>
          <w:tab w:val="left" w:pos="1276"/>
        </w:tabs>
        <w:suppressAutoHyphens/>
        <w:spacing w:after="0" w:line="240" w:lineRule="auto"/>
        <w:contextualSpacing/>
        <w:jc w:val="center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  <w:t>3. Выводы</w:t>
      </w:r>
    </w:p>
    <w:p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По итогам оценки эффективности налоговых расходов поселения установлено следующее.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В 202</w:t>
      </w:r>
      <w:r>
        <w:rPr>
          <w:rFonts w:hint="default" w:ascii="Times New Roman" w:hAnsi="Times New Roman" w:eastAsia="Calibri" w:cs="Times New Roman"/>
          <w:sz w:val="24"/>
          <w:szCs w:val="24"/>
          <w:lang w:val="en-US" w:eastAsia="ru-RU"/>
        </w:rPr>
        <w:t>1</w:t>
      </w: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 году государственной (муниципальной) поддержкой в виде налоговых расходов на территории сельского поселения Сосновка воспользовались </w:t>
      </w:r>
      <w:r>
        <w:rPr>
          <w:rFonts w:hint="default" w:ascii="Times New Roman" w:hAnsi="Times New Roman" w:eastAsia="Calibri" w:cs="Times New Roman"/>
          <w:sz w:val="24"/>
          <w:szCs w:val="24"/>
          <w:lang w:val="en-US" w:eastAsia="ru-RU"/>
        </w:rPr>
        <w:t>6</w:t>
      </w: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 налогоплательщиков  - юридических лица, относящихся к </w:t>
      </w:r>
      <w:r>
        <w:rPr>
          <w:rFonts w:hint="default" w:ascii="Times New Roman" w:hAnsi="Times New Roman" w:eastAsia="Calibri" w:cs="Times New Roman"/>
          <w:sz w:val="24"/>
          <w:szCs w:val="24"/>
          <w:lang w:val="en-US" w:eastAsia="ru-RU"/>
        </w:rPr>
        <w:t>3</w:t>
      </w: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 льготным категориям и </w:t>
      </w:r>
      <w:r>
        <w:rPr>
          <w:rFonts w:hint="default" w:ascii="Times New Roman" w:hAnsi="Times New Roman" w:eastAsia="Calibri" w:cs="Times New Roman"/>
          <w:sz w:val="24"/>
          <w:szCs w:val="24"/>
          <w:lang w:val="en-US" w:eastAsia="ru-RU"/>
        </w:rPr>
        <w:t>53</w:t>
      </w: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 налогоплательщика - физических лица, относящихся к 2 льготным категориям.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По итогам оценки эффективности налоговых расходов по критериям целесообразности и результативности установлено следующее.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На территории поселения установлено 1</w:t>
      </w:r>
      <w:r>
        <w:rPr>
          <w:rFonts w:hint="default" w:ascii="Times New Roman" w:hAnsi="Times New Roman" w:eastAsia="Calibri" w:cs="Times New Roman"/>
          <w:sz w:val="24"/>
          <w:szCs w:val="24"/>
          <w:lang w:val="en-US" w:eastAsia="ru-RU"/>
        </w:rPr>
        <w:t>1 в</w:t>
      </w:r>
      <w:r>
        <w:rPr>
          <w:rFonts w:ascii="Times New Roman" w:hAnsi="Times New Roman" w:eastAsia="Calibri" w:cs="Times New Roman"/>
          <w:sz w:val="24"/>
          <w:szCs w:val="24"/>
          <w:lang w:eastAsia="ru-RU"/>
        </w:rPr>
        <w:t>идов налоговых расходов, в том числе: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по земельному налогу - </w:t>
      </w:r>
      <w:r>
        <w:rPr>
          <w:rFonts w:hint="default" w:ascii="Times New Roman" w:hAnsi="Times New Roman" w:eastAsia="Calibri" w:cs="Times New Roman"/>
          <w:sz w:val="24"/>
          <w:szCs w:val="24"/>
          <w:lang w:val="en-US" w:eastAsia="ru-RU"/>
        </w:rPr>
        <w:t>9</w:t>
      </w: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 видов налоговых расходов;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по налогу на имущество физических лиц - 2 вида налоговых расходов.</w:t>
      </w:r>
    </w:p>
    <w:p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hint="default" w:ascii="Times New Roman" w:hAnsi="Times New Roman" w:eastAsia="Calibri" w:cs="Times New Roman"/>
          <w:sz w:val="24"/>
          <w:szCs w:val="24"/>
          <w:lang w:val="ru-RU"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На протяжении более пяти налоговых периода из 8 видов налоговых расходов поселения по земельному налогу востребованными оказалось 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3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налоговых расхода (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2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технических и 1 стимулирующий); не востребованными - 5 налоговых расхода (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1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технически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й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, 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2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стимулирующи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х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и 2 социальных). </w:t>
      </w:r>
      <w:r>
        <w:rPr>
          <w:rFonts w:hint="default" w:ascii="Times New Roman" w:hAnsi="Times New Roman" w:eastAsia="Calibri" w:cs="Times New Roman"/>
          <w:sz w:val="24"/>
          <w:szCs w:val="24"/>
          <w:lang w:val="ru-RU" w:eastAsia="zh-CN"/>
        </w:rPr>
        <w:t xml:space="preserve">Один налоговый расход стимулирующего характера вступил в силу с 1 января 2022 года, имеет 1 потенциально возможного получателя, оцениваться будет в последующие налоговые периоды. </w:t>
      </w:r>
    </w:p>
    <w:p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По налогу на имущество физических лиц все установленные налоговые расходы поселения на протяжении пяти лет являются востребованными.</w:t>
      </w:r>
    </w:p>
    <w:p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В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се налоговые расходы поселения соответствуют целям муниципальных программ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Белоярского района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, муниципальной программе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сельского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поселения Сосновка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и (или) целям </w:t>
      </w:r>
      <w:r>
        <w:rPr>
          <w:rFonts w:ascii="Times New Roman" w:hAnsi="Times New Roman" w:eastAsia="Calibri" w:cs="Times New Roman"/>
          <w:sz w:val="24"/>
          <w:szCs w:val="24"/>
          <w:lang w:eastAsia="zh-CN"/>
        </w:rPr>
        <w:t>социально-экономического развития Белоярского района до 2030 года, не относящимся к муниципальным программам района, в рамках переданных полномочий.</w:t>
      </w:r>
    </w:p>
    <w:p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Сводный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отчет об оценке налоговый расходов поселения за 2021 год представлен в приложении 2 к настоящей аналитической записке.</w:t>
      </w:r>
    </w:p>
    <w:p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На основании результатов оценки эффективности налоговых расходов поселения, учитывая их направленность, а также принимая во внимание предложения кураторов налоговых расходов, предлагается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при формировании основных направлений налоговой и бюджетной политики поселения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на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2023 год и плановый период 2024 и 2025 годов,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налоговые расходы,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установленные 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на территории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сельского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поселения Сосновка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сохранить в полном составе.</w:t>
      </w:r>
    </w:p>
    <w:p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прогнозирования доходов и финансов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финансам и налоговой политике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администрации Белоярского района                                                                               О.Н.Орлова</w:t>
      </w:r>
    </w:p>
    <w:p/>
    <w:p/>
    <w:p>
      <w:pPr>
        <w:sectPr>
          <w:headerReference r:id="rId5" w:type="first"/>
          <w:footerReference r:id="rId6" w:type="first"/>
          <w:footnotePr>
            <w:pos w:val="beneathText"/>
          </w:footnotePr>
          <w:pgSz w:w="11906" w:h="16838"/>
          <w:pgMar w:top="780" w:right="1080" w:bottom="1135" w:left="1080" w:header="720" w:footer="720" w:gutter="0"/>
          <w:cols w:space="720" w:num="1"/>
          <w:docGrid w:linePitch="360" w:charSpace="0"/>
        </w:sectPr>
      </w:pPr>
    </w:p>
    <w:p>
      <w:pPr>
        <w:spacing w:after="0" w:line="240" w:lineRule="auto"/>
        <w:ind w:firstLine="1012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1</w:t>
      </w:r>
    </w:p>
    <w:p>
      <w:pPr>
        <w:spacing w:after="0" w:line="240" w:lineRule="auto"/>
        <w:ind w:firstLine="10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аналитической записке о результатах оценки</w:t>
      </w:r>
    </w:p>
    <w:p>
      <w:pPr>
        <w:spacing w:after="0" w:line="240" w:lineRule="auto"/>
        <w:ind w:firstLine="10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эффективности предоставленных налоговых расходов</w:t>
      </w:r>
    </w:p>
    <w:p>
      <w:pPr>
        <w:spacing w:after="0" w:line="240" w:lineRule="auto"/>
        <w:ind w:firstLine="10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 Сосновка за 202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год</w:t>
      </w:r>
    </w:p>
    <w:p>
      <w:pPr>
        <w:ind w:firstLine="4678"/>
        <w:rPr>
          <w:sz w:val="20"/>
          <w:szCs w:val="20"/>
        </w:rPr>
      </w:pPr>
    </w:p>
    <w:p>
      <w:pPr>
        <w:ind w:firstLine="4678"/>
        <w:rPr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оценки эффективности налоговых расходов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Сосновка за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/>
    <w:p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</w:p>
    <w:p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1. По земельному налогу:</w:t>
      </w:r>
    </w:p>
    <w:tbl>
      <w:tblPr>
        <w:tblStyle w:val="3"/>
        <w:tblW w:w="15075" w:type="dxa"/>
        <w:tblInd w:w="-16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4"/>
        <w:gridCol w:w="1928"/>
        <w:gridCol w:w="1875"/>
        <w:gridCol w:w="963"/>
        <w:gridCol w:w="1225"/>
        <w:gridCol w:w="1300"/>
        <w:gridCol w:w="1112"/>
        <w:gridCol w:w="1863"/>
        <w:gridCol w:w="1575"/>
        <w:gridCol w:w="1350"/>
        <w:gridCol w:w="160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blHeader/>
        </w:trPr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val="en-US" w:eastAsia="zh-CN" w:bidi="hi-IN"/>
              </w:rPr>
              <w:t>№</w:t>
            </w:r>
            <w:r>
              <w:rPr>
                <w:rFonts w:ascii="Times New Roman" w:hAnsi="Times New Roman" w:eastAsia="Times New Roman" w:cs="Times New Roman"/>
                <w:b/>
                <w:kern w:val="2"/>
                <w:sz w:val="14"/>
                <w:szCs w:val="14"/>
                <w:lang w:val="en-US" w:eastAsia="zh-CN" w:bidi="hi-IN"/>
              </w:rPr>
              <w:t xml:space="preserve"> </w:t>
            </w: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val="en-US" w:eastAsia="zh-CN" w:bidi="hi-IN"/>
              </w:rPr>
              <w:t>п/п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Наименование налогового расхода (налоговых льгот, освобождений и иных преференций)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Цели предоставления налоговых расходов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Объем налоговых расходов (тыс. руб.)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Численность плательщиков налогов, воспользовавшихся налоговым расходом (единиц)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 xml:space="preserve">Востребованность плательщиками предоставленных налоговых расходов                                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 xml:space="preserve">Коэффициент эффективности вклада  (&gt; 0)                                  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Оценка вклада предусмотренного налогового расхода в изменение значения показателя (индикатора) достижения целей государственных программ автономного округа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Результат сравнительного анализа результативности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Бюджетный эффект (самоокупаемость)             (тыс. руб.)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Результат оценки эффективности налогового расхода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val="en-US" w:eastAsia="zh-CN" w:bidi="hi-I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atLeast"/>
          <w:tblHeader/>
        </w:trPr>
        <w:tc>
          <w:tcPr>
            <w:tcW w:w="28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1</w:t>
            </w:r>
          </w:p>
        </w:tc>
        <w:tc>
          <w:tcPr>
            <w:tcW w:w="19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2</w:t>
            </w:r>
          </w:p>
        </w:tc>
        <w:tc>
          <w:tcPr>
            <w:tcW w:w="18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3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4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6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7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8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9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10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11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6" w:hRule="atLeast"/>
        </w:trPr>
        <w:tc>
          <w:tcPr>
            <w:tcW w:w="15075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1.Муниципальная программа сельского поселения Сосновка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«Реализация полномочий органов местного самоуправления</w:t>
            </w:r>
            <w:r>
              <w:rPr>
                <w:rFonts w:hint="default" w:ascii="Times New Roman" w:hAnsi="Times New Roman" w:eastAsia="Times New Roman" w:cs="Times New Roman"/>
                <w:b/>
                <w:kern w:val="2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сельского поселения Сосновка»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5" w:hRule="atLeast"/>
        </w:trPr>
        <w:tc>
          <w:tcPr>
            <w:tcW w:w="28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Освобождение от уплаты налога органов местного самоуправления 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 встречных финансовых потоков, оптимизации бюджетных расходов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2"/>
                <w:sz w:val="18"/>
                <w:szCs w:val="18"/>
                <w:lang w:val="ru-RU" w:eastAsia="zh-CN" w:bidi="hi-IN"/>
              </w:rPr>
              <w:t>9</w:t>
            </w: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,00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kern w:val="2"/>
                <w:sz w:val="18"/>
                <w:szCs w:val="18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18"/>
                <w:szCs w:val="18"/>
                <w:lang w:val="ru-RU" w:eastAsia="zh-CN"/>
              </w:rPr>
              <w:t>1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val="ru-RU"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1/ востребован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val="ru-RU"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результативный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 результативный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val="ru-RU"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эффективный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4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Освобождение от уплаты налога муниципальных учреждений поселения</w:t>
            </w:r>
          </w:p>
        </w:tc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 встречных финансовых потоков, оптимизации бюджетных расходов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8</w:t>
            </w:r>
            <w:r>
              <w:rPr>
                <w:rFonts w:hint="default" w:ascii="Times New Roman" w:hAnsi="Times New Roman" w:eastAsia="SimSun" w:cs="Times New Roman"/>
                <w:color w:val="000000"/>
                <w:kern w:val="2"/>
                <w:sz w:val="18"/>
                <w:szCs w:val="18"/>
                <w:lang w:val="ru-RU" w:eastAsia="zh-CN" w:bidi="hi-IN"/>
              </w:rPr>
              <w:t>3</w:t>
            </w: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,0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1/ востребован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результативный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 результативный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эффективный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075" w:type="dxa"/>
            <w:gridSpan w:val="11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2.Муниципальная программа Белоярского района «Управление муниципальными финансами</w:t>
            </w:r>
          </w:p>
          <w:p>
            <w:pPr>
              <w:pStyle w:val="10"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в Белоярском районе»</w:t>
            </w:r>
          </w:p>
        </w:tc>
      </w:tr>
      <w:tr>
        <w:tc>
          <w:tcPr>
            <w:tcW w:w="284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Освобождение от уплаты налога муниципальных учреждений Белоярского района</w:t>
            </w:r>
          </w:p>
        </w:tc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 встречных финансовых потоков, оптимизации бюджетных расходов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0/ не востребован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недостаточно эффективный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0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Муниципальная программа Белоярского района «Развитие социальной политики</w:t>
            </w:r>
          </w:p>
          <w:p>
            <w:pPr>
              <w:pStyle w:val="10"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на территории Белоярского района»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Освобождение от уплаты налога ветеранов и инвалидов Великой Отечественной войны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поддержки  отдельных категорий граждан, повышения качества жизни жителей района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0/ не востребован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недостаточно эффективный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Освобождение от уплаты налога социально ориентированных некоммерческих организаций</w:t>
            </w:r>
          </w:p>
        </w:tc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условий для развития институтов гражданского общества и реализации гражданских инициатив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0/ не востребован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недостаточно эффективный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0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4. Муниципальная программа Белоярского района «Обеспечение доступным и комфортным жильем 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жителей Белоярского района»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Установление пониженной ставки по налогу для владельцев земельных участков, предназначенных для размещения домов индивидуальной жилой застройки</w:t>
            </w:r>
          </w:p>
        </w:tc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Установление пониженной ставки по налогу для владельцы земельных участков, предназначенных для размещения домов индивидуальной жилой застройки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0/ не востребован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недостаточно эффективный</w:t>
            </w:r>
          </w:p>
        </w:tc>
      </w:tr>
    </w:tbl>
    <w:p>
      <w:pPr>
        <w:jc w:val="right"/>
      </w:pPr>
    </w:p>
    <w:p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4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оценки эффективности налоговых расходов по земельному налогу, нераспределенных по муниципальным программам, за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3"/>
        <w:tblW w:w="15041" w:type="dxa"/>
        <w:tblInd w:w="-16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4"/>
        <w:gridCol w:w="3134"/>
        <w:gridCol w:w="3543"/>
        <w:gridCol w:w="1418"/>
        <w:gridCol w:w="1843"/>
        <w:gridCol w:w="2126"/>
        <w:gridCol w:w="269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blHeader/>
        </w:trPr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val="en-US" w:eastAsia="zh-CN" w:bidi="hi-IN"/>
              </w:rPr>
              <w:t>№</w:t>
            </w:r>
            <w:r>
              <w:rPr>
                <w:rFonts w:ascii="Times New Roman" w:hAnsi="Times New Roman" w:eastAsia="Times New Roman" w:cs="Times New Roman"/>
                <w:b/>
                <w:kern w:val="2"/>
                <w:sz w:val="14"/>
                <w:szCs w:val="14"/>
                <w:lang w:val="en-US" w:eastAsia="zh-CN" w:bidi="hi-IN"/>
              </w:rPr>
              <w:t xml:space="preserve"> </w:t>
            </w: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val="en-US" w:eastAsia="zh-CN" w:bidi="hi-IN"/>
              </w:rPr>
              <w:t>п/п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Наименование налогового расхода (налоговых льгот, освобождений и иных преференций)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Цели предоставления налоговых расходов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Объем налоговых расходов (тыс. руб.)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Численность плательщиков налогов, воспользовавшихся налоговым расходом (единиц)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 xml:space="preserve">Востребованность плательщиками предоставленных налоговых расходов 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Результат оценки эффективности налогового расхода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atLeast"/>
          <w:tblHeader/>
        </w:trPr>
        <w:tc>
          <w:tcPr>
            <w:tcW w:w="28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1</w:t>
            </w:r>
          </w:p>
        </w:tc>
        <w:tc>
          <w:tcPr>
            <w:tcW w:w="313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11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3" w:hRule="atLeast"/>
        </w:trPr>
        <w:tc>
          <w:tcPr>
            <w:tcW w:w="284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Освобождение от уплаты налога организаций в отношении земельных участков, в границах которых реализуются инвестиционные проекты в соответствии с соглашением о защите и поощрении капиталовложений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на территории района благоприятного инвестиционного климата, развития конкуренции</w:t>
            </w: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 не востребован</w:t>
            </w:r>
          </w:p>
        </w:tc>
        <w:tc>
          <w:tcPr>
            <w:tcW w:w="26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недостаточно эффективный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3" w:hRule="atLeast"/>
        </w:trPr>
        <w:tc>
          <w:tcPr>
            <w:tcW w:w="2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Установление пониженной ставки по налогу для организаций, деятельность которых направлена  на обеспечение решения социально значимых направлений функционирования поселения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Поддержка организаций, деятельность которых направлена  на обеспечение решения социально значимых направлений функционирования поселения</w:t>
            </w: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84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1/ востребован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 xml:space="preserve"> эффективный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3" w:hRule="atLeast"/>
        </w:trPr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kern w:val="2"/>
                <w:sz w:val="18"/>
                <w:szCs w:val="18"/>
                <w:lang w:val="ru-RU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18"/>
                <w:szCs w:val="18"/>
                <w:lang w:val="ru-RU" w:eastAsia="zh-CN"/>
              </w:rPr>
              <w:t>3.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8"/>
                <w:szCs w:val="1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ru-RU" w:eastAsia="zh-CN"/>
              </w:rPr>
              <w:t>Установление пониженной ставки для владельцев земельных участков, предназначенных для обеспечения деятельности организаций и (или) объектов связи, радиовещания, телевидения, информатики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8"/>
                <w:szCs w:val="18"/>
                <w:lang w:val="ru-RU" w:eastAsia="en-US" w:bidi="ar-SA"/>
              </w:rPr>
            </w:pPr>
            <w:r>
              <w:rPr>
                <w:rFonts w:hint="default" w:ascii="Times New Roman" w:hAnsi="Times New Roman"/>
                <w:color w:val="000000"/>
                <w:sz w:val="18"/>
                <w:szCs w:val="18"/>
              </w:rPr>
              <w:t>Снижение налоговой нагрузки для объектов связи и центров обработки данных с целью обеспечения ускоренного развития отрасли информационных технологий в Российской Федерации (Указ Президента Российской Федерации от 2 марта 2022 года № 83 «О мерах по обеспечению ускоренного развития отрасли информационных технологий в Российской Федерации»)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18"/>
                <w:szCs w:val="18"/>
                <w:lang w:val="ru-RU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18"/>
                <w:szCs w:val="18"/>
                <w:lang w:val="ru-RU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 не востребован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kern w:val="2"/>
                <w:sz w:val="18"/>
                <w:szCs w:val="18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недостаточно эффективный</w:t>
            </w:r>
            <w:r>
              <w:rPr>
                <w:rFonts w:hint="default" w:ascii="Times New Roman" w:hAnsi="Times New Roman" w:eastAsia="Times New Roman" w:cs="Times New Roman"/>
                <w:kern w:val="2"/>
                <w:sz w:val="18"/>
                <w:szCs w:val="18"/>
                <w:lang w:val="ru-RU" w:eastAsia="zh-CN"/>
              </w:rPr>
              <w:t xml:space="preserve"> (вступил в силу с 1 января 2022 года)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p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2. По налогу на имущество физических лиц:</w:t>
      </w:r>
    </w:p>
    <w:tbl>
      <w:tblPr>
        <w:tblStyle w:val="3"/>
        <w:tblW w:w="15075" w:type="dxa"/>
        <w:tblInd w:w="-16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4"/>
        <w:gridCol w:w="1928"/>
        <w:gridCol w:w="1875"/>
        <w:gridCol w:w="963"/>
        <w:gridCol w:w="1225"/>
        <w:gridCol w:w="1300"/>
        <w:gridCol w:w="1112"/>
        <w:gridCol w:w="1863"/>
        <w:gridCol w:w="1575"/>
        <w:gridCol w:w="1350"/>
        <w:gridCol w:w="160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blHeader/>
        </w:trPr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val="en-US" w:eastAsia="zh-CN" w:bidi="hi-IN"/>
              </w:rPr>
              <w:t>№</w:t>
            </w:r>
            <w:r>
              <w:rPr>
                <w:rFonts w:ascii="Times New Roman" w:hAnsi="Times New Roman" w:eastAsia="Times New Roman" w:cs="Times New Roman"/>
                <w:b/>
                <w:kern w:val="2"/>
                <w:sz w:val="14"/>
                <w:szCs w:val="14"/>
                <w:lang w:val="en-US" w:eastAsia="zh-CN" w:bidi="hi-IN"/>
              </w:rPr>
              <w:t xml:space="preserve"> </w:t>
            </w: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val="en-US" w:eastAsia="zh-CN" w:bidi="hi-IN"/>
              </w:rPr>
              <w:t>п/п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Наименование налогового расхода (налоговых льгот, освобождений и иных преференций)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Цели предоставления налоговых расходов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Объем налоговых расходов (тыс. руб.)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Численность плательщиков налогов, воспользовавшихся налоговым расходом (единиц)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 xml:space="preserve">Востребованность плательщиками предоставленных налоговых расходов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 xml:space="preserve">Коэффициент эффективности вклада  (&gt; 0)                                  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Оценка вклада предусмотренного налогового расхода в изменение значения показателя (индикатора) достижения целей государственных программ автономного округа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Результат сравнительного анализа результативности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Бюджетный эффект (самоокупаемость)             (тыс. руб.)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14"/>
                <w:szCs w:val="14"/>
                <w:lang w:eastAsia="zh-CN" w:bidi="hi-IN"/>
              </w:rPr>
              <w:t xml:space="preserve">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Результат оценки эффективности налогового расхода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atLeast"/>
          <w:tblHeader/>
        </w:trPr>
        <w:tc>
          <w:tcPr>
            <w:tcW w:w="28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1</w:t>
            </w:r>
          </w:p>
        </w:tc>
        <w:tc>
          <w:tcPr>
            <w:tcW w:w="19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2</w:t>
            </w:r>
          </w:p>
        </w:tc>
        <w:tc>
          <w:tcPr>
            <w:tcW w:w="18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3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4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6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7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8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9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10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11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6" w:hRule="atLeast"/>
        </w:trPr>
        <w:tc>
          <w:tcPr>
            <w:tcW w:w="15075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numPr>
                <w:ilvl w:val="0"/>
                <w:numId w:val="3"/>
              </w:num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Муниципальная программа Белоярского района </w:t>
            </w:r>
            <w:r>
              <w:rPr>
                <w:rFonts w:ascii="Times New Roman" w:hAnsi="Times New Roman" w:eastAsia="Times New Roman"/>
                <w:b/>
                <w:kern w:val="2"/>
                <w:sz w:val="24"/>
                <w:szCs w:val="24"/>
                <w:lang w:eastAsia="zh-CN"/>
              </w:rPr>
              <w:t>«Развитие социальной политики</w:t>
            </w:r>
          </w:p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b/>
                <w:kern w:val="2"/>
                <w:sz w:val="24"/>
                <w:szCs w:val="24"/>
                <w:lang w:eastAsia="zh-CN"/>
              </w:rPr>
              <w:t>на территории Белоярского района</w:t>
            </w:r>
            <w:bookmarkStart w:id="0" w:name="_GoBack"/>
            <w:bookmarkEnd w:id="0"/>
            <w:r>
              <w:rPr>
                <w:rFonts w:ascii="Times New Roman" w:hAnsi="Times New Roman" w:eastAsia="Times New Roman"/>
                <w:b/>
                <w:kern w:val="2"/>
                <w:sz w:val="24"/>
                <w:szCs w:val="24"/>
                <w:lang w:eastAsia="zh-CN"/>
              </w:rPr>
              <w:t>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28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Освобождение от уплаты налога несовершеннолетних владельцев долей имущества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Социальная поддержка отдельных категорий граждан, повышения качества жизни жителей поселения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2"/>
                <w:sz w:val="18"/>
                <w:szCs w:val="18"/>
                <w:lang w:val="ru-RU" w:eastAsia="zh-CN" w:bidi="hi-IN"/>
              </w:rPr>
              <w:t>3</w:t>
            </w: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,0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kern w:val="2"/>
                <w:sz w:val="18"/>
                <w:szCs w:val="18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18"/>
                <w:szCs w:val="18"/>
                <w:lang w:val="ru-RU" w:eastAsia="zh-CN"/>
              </w:rPr>
              <w:t>42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1/ востребован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результативный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 результативный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эффективный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2" w:hRule="atLeast"/>
        </w:trPr>
        <w:tc>
          <w:tcPr>
            <w:tcW w:w="15075" w:type="dxa"/>
            <w:gridSpan w:val="11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Муниципальная программа Белоярского района «Развитие малого и среднего предпринимательства и туризма</w:t>
            </w:r>
          </w:p>
          <w:p>
            <w:pPr>
              <w:suppressAutoHyphens/>
              <w:spacing w:after="0" w:line="240" w:lineRule="auto"/>
              <w:ind w:firstLine="5" w:firstLineChars="2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в Белоярском районе»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3" w:hRule="atLeast"/>
        </w:trPr>
        <w:tc>
          <w:tcPr>
            <w:tcW w:w="284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Установление пониженной ставки для индивидуальных предпринимателей - владельцев объектов недвижимого имущества,  включённого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Поддержка субъектов малого предпринимательства, развития предпринимательской деятельности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3</w:t>
            </w:r>
            <w:r>
              <w:rPr>
                <w:rFonts w:hint="default" w:ascii="Times New Roman" w:hAnsi="Times New Roman" w:eastAsia="SimSun" w:cs="Times New Roman"/>
                <w:color w:val="000000"/>
                <w:kern w:val="2"/>
                <w:sz w:val="18"/>
                <w:szCs w:val="18"/>
                <w:lang w:val="ru-RU" w:eastAsia="zh-CN" w:bidi="hi-IN"/>
              </w:rPr>
              <w:t>31</w:t>
            </w: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,00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1/  востребован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результативный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 xml:space="preserve">результативный   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эффективный</w:t>
            </w:r>
          </w:p>
        </w:tc>
      </w:tr>
    </w:tbl>
    <w:p>
      <w:pPr>
        <w:jc w:val="right"/>
      </w:pPr>
    </w:p>
    <w:p>
      <w:pPr>
        <w:jc w:val="center"/>
      </w:pPr>
      <w:r>
        <w:t>_________________</w:t>
      </w:r>
    </w:p>
    <w:sectPr>
      <w:footnotePr>
        <w:pos w:val="beneathText"/>
      </w:footnotePr>
      <w:pgSz w:w="16838" w:h="11906" w:orient="landscape"/>
      <w:pgMar w:top="1080" w:right="780" w:bottom="1080" w:left="1135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</w:p>
  </w:footnote>
  <w:footnote w:type="continuationSeparator" w:id="1">
    <w:p>
      <w:pPr>
        <w:spacing w:before="0" w:after="0" w:line="259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sz w:val="28"/>
        <w:szCs w:val="28"/>
      </w:rPr>
    </w:pPr>
  </w:p>
  <w:p>
    <w:pPr>
      <w:pStyle w:val="6"/>
      <w:jc w:val="center"/>
      <w:rPr>
        <w:sz w:val="28"/>
        <w:szCs w:val="28"/>
      </w:rPr>
    </w:pPr>
  </w:p>
  <w:p>
    <w:pPr>
      <w:pStyle w:val="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0332C5"/>
    <w:multiLevelType w:val="singleLevel"/>
    <w:tmpl w:val="E80332C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04109EC"/>
    <w:multiLevelType w:val="singleLevel"/>
    <w:tmpl w:val="004109EC"/>
    <w:lvl w:ilvl="0" w:tentative="0">
      <w:start w:val="5"/>
      <w:numFmt w:val="decimal"/>
      <w:suff w:val="space"/>
      <w:lvlText w:val="%1."/>
      <w:lvlJc w:val="left"/>
    </w:lvl>
  </w:abstractNum>
  <w:abstractNum w:abstractNumId="2">
    <w:nsid w:val="15AF6AA7"/>
    <w:multiLevelType w:val="singleLevel"/>
    <w:tmpl w:val="15AF6AA7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1702A3C8"/>
    <w:multiLevelType w:val="singleLevel"/>
    <w:tmpl w:val="1702A3C8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noPunctuationKerning w:val="1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86"/>
    <w:rsid w:val="00002474"/>
    <w:rsid w:val="00034B2D"/>
    <w:rsid w:val="000A25F1"/>
    <w:rsid w:val="00104290"/>
    <w:rsid w:val="00104F89"/>
    <w:rsid w:val="00114195"/>
    <w:rsid w:val="00121A52"/>
    <w:rsid w:val="001310B0"/>
    <w:rsid w:val="0013321A"/>
    <w:rsid w:val="00165FF7"/>
    <w:rsid w:val="0019223F"/>
    <w:rsid w:val="001B1569"/>
    <w:rsid w:val="001D5DD1"/>
    <w:rsid w:val="001D5EBC"/>
    <w:rsid w:val="00210184"/>
    <w:rsid w:val="002235BC"/>
    <w:rsid w:val="00233E01"/>
    <w:rsid w:val="002609B0"/>
    <w:rsid w:val="00285CC1"/>
    <w:rsid w:val="00290F09"/>
    <w:rsid w:val="002B0F96"/>
    <w:rsid w:val="002D0560"/>
    <w:rsid w:val="002F5A38"/>
    <w:rsid w:val="0031615F"/>
    <w:rsid w:val="0031637F"/>
    <w:rsid w:val="003558D0"/>
    <w:rsid w:val="00375660"/>
    <w:rsid w:val="00387E1A"/>
    <w:rsid w:val="003E3165"/>
    <w:rsid w:val="003F3908"/>
    <w:rsid w:val="003F4A98"/>
    <w:rsid w:val="00400B9E"/>
    <w:rsid w:val="004320BC"/>
    <w:rsid w:val="00446EF3"/>
    <w:rsid w:val="00462D46"/>
    <w:rsid w:val="00491E05"/>
    <w:rsid w:val="004A47B6"/>
    <w:rsid w:val="004B5067"/>
    <w:rsid w:val="005239C9"/>
    <w:rsid w:val="005349F3"/>
    <w:rsid w:val="00535A97"/>
    <w:rsid w:val="00542593"/>
    <w:rsid w:val="005535D3"/>
    <w:rsid w:val="00595280"/>
    <w:rsid w:val="005F40D1"/>
    <w:rsid w:val="006D0150"/>
    <w:rsid w:val="006D0A19"/>
    <w:rsid w:val="006E1E83"/>
    <w:rsid w:val="006F0E9F"/>
    <w:rsid w:val="00712F7D"/>
    <w:rsid w:val="00734899"/>
    <w:rsid w:val="0074349C"/>
    <w:rsid w:val="00746CED"/>
    <w:rsid w:val="00752786"/>
    <w:rsid w:val="007751FF"/>
    <w:rsid w:val="0077673F"/>
    <w:rsid w:val="007808FD"/>
    <w:rsid w:val="007A2BAA"/>
    <w:rsid w:val="007C78D2"/>
    <w:rsid w:val="007D378A"/>
    <w:rsid w:val="007E4F10"/>
    <w:rsid w:val="007E5510"/>
    <w:rsid w:val="00804E6D"/>
    <w:rsid w:val="0084247E"/>
    <w:rsid w:val="00842AA5"/>
    <w:rsid w:val="0084368D"/>
    <w:rsid w:val="00854151"/>
    <w:rsid w:val="00863315"/>
    <w:rsid w:val="00896751"/>
    <w:rsid w:val="008A3D47"/>
    <w:rsid w:val="008B0696"/>
    <w:rsid w:val="008C2388"/>
    <w:rsid w:val="008F6F57"/>
    <w:rsid w:val="00927ED4"/>
    <w:rsid w:val="00943FD1"/>
    <w:rsid w:val="0096250A"/>
    <w:rsid w:val="00983026"/>
    <w:rsid w:val="00995FB3"/>
    <w:rsid w:val="00996191"/>
    <w:rsid w:val="009975DC"/>
    <w:rsid w:val="009E0367"/>
    <w:rsid w:val="00A17152"/>
    <w:rsid w:val="00A25DF4"/>
    <w:rsid w:val="00A56848"/>
    <w:rsid w:val="00AC6386"/>
    <w:rsid w:val="00B059ED"/>
    <w:rsid w:val="00B30267"/>
    <w:rsid w:val="00B34A49"/>
    <w:rsid w:val="00B35820"/>
    <w:rsid w:val="00B47E87"/>
    <w:rsid w:val="00BA4FD7"/>
    <w:rsid w:val="00BA7497"/>
    <w:rsid w:val="00BC5801"/>
    <w:rsid w:val="00BD03F3"/>
    <w:rsid w:val="00BD0B13"/>
    <w:rsid w:val="00BD5612"/>
    <w:rsid w:val="00C300D6"/>
    <w:rsid w:val="00C56EF5"/>
    <w:rsid w:val="00C77313"/>
    <w:rsid w:val="00C8556F"/>
    <w:rsid w:val="00CE2AF1"/>
    <w:rsid w:val="00CE7C97"/>
    <w:rsid w:val="00CF4F20"/>
    <w:rsid w:val="00D10C86"/>
    <w:rsid w:val="00D57147"/>
    <w:rsid w:val="00D57646"/>
    <w:rsid w:val="00D64591"/>
    <w:rsid w:val="00D6573A"/>
    <w:rsid w:val="00D8169B"/>
    <w:rsid w:val="00D84743"/>
    <w:rsid w:val="00DA22CE"/>
    <w:rsid w:val="00DA58F4"/>
    <w:rsid w:val="00E76847"/>
    <w:rsid w:val="00EC2B5B"/>
    <w:rsid w:val="00F37582"/>
    <w:rsid w:val="00F76245"/>
    <w:rsid w:val="00FA0257"/>
    <w:rsid w:val="00FA19DB"/>
    <w:rsid w:val="00FA3933"/>
    <w:rsid w:val="00FB2DC3"/>
    <w:rsid w:val="00FC0575"/>
    <w:rsid w:val="018776A4"/>
    <w:rsid w:val="01DD7B90"/>
    <w:rsid w:val="02CE10CE"/>
    <w:rsid w:val="035C3621"/>
    <w:rsid w:val="06381B55"/>
    <w:rsid w:val="0802603B"/>
    <w:rsid w:val="08263BCE"/>
    <w:rsid w:val="08B111B3"/>
    <w:rsid w:val="09932E47"/>
    <w:rsid w:val="196569E3"/>
    <w:rsid w:val="1AA21560"/>
    <w:rsid w:val="1CEF3568"/>
    <w:rsid w:val="1E8B36C1"/>
    <w:rsid w:val="1FE80211"/>
    <w:rsid w:val="2202254F"/>
    <w:rsid w:val="23102973"/>
    <w:rsid w:val="256F19FD"/>
    <w:rsid w:val="25A31840"/>
    <w:rsid w:val="26851B72"/>
    <w:rsid w:val="285C0647"/>
    <w:rsid w:val="296D4D6F"/>
    <w:rsid w:val="2B927CB6"/>
    <w:rsid w:val="2D1F4F3A"/>
    <w:rsid w:val="2DAD3059"/>
    <w:rsid w:val="2E900025"/>
    <w:rsid w:val="324B2747"/>
    <w:rsid w:val="35422940"/>
    <w:rsid w:val="371E1956"/>
    <w:rsid w:val="38EB522F"/>
    <w:rsid w:val="3A7613BA"/>
    <w:rsid w:val="3E557459"/>
    <w:rsid w:val="414D1A59"/>
    <w:rsid w:val="41CC5206"/>
    <w:rsid w:val="42105636"/>
    <w:rsid w:val="42270A86"/>
    <w:rsid w:val="44F50C63"/>
    <w:rsid w:val="461203B7"/>
    <w:rsid w:val="47904776"/>
    <w:rsid w:val="4A370803"/>
    <w:rsid w:val="4A58274B"/>
    <w:rsid w:val="4BB85213"/>
    <w:rsid w:val="4BC16F93"/>
    <w:rsid w:val="4DD62421"/>
    <w:rsid w:val="4F167DB2"/>
    <w:rsid w:val="4FAC524D"/>
    <w:rsid w:val="516D0236"/>
    <w:rsid w:val="51900AD9"/>
    <w:rsid w:val="54096D6B"/>
    <w:rsid w:val="54EF50D9"/>
    <w:rsid w:val="57463742"/>
    <w:rsid w:val="58F266DC"/>
    <w:rsid w:val="5A9A7390"/>
    <w:rsid w:val="5C6A6C21"/>
    <w:rsid w:val="5D940405"/>
    <w:rsid w:val="5E1B53C4"/>
    <w:rsid w:val="5E4353E2"/>
    <w:rsid w:val="645E5B15"/>
    <w:rsid w:val="66336A98"/>
    <w:rsid w:val="667E2608"/>
    <w:rsid w:val="709A04DE"/>
    <w:rsid w:val="73A24333"/>
    <w:rsid w:val="747B1D80"/>
    <w:rsid w:val="7AE830FB"/>
    <w:rsid w:val="7B5E2936"/>
    <w:rsid w:val="7B8D2516"/>
    <w:rsid w:val="7B9E3451"/>
    <w:rsid w:val="7F67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note text"/>
    <w:basedOn w:val="1"/>
    <w:link w:val="13"/>
    <w:semiHidden/>
    <w:unhideWhenUsed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kern w:val="2"/>
      <w:sz w:val="20"/>
      <w:szCs w:val="20"/>
      <w:lang w:val="zh-CN" w:eastAsia="zh-CN"/>
    </w:rPr>
  </w:style>
  <w:style w:type="paragraph" w:styleId="6">
    <w:name w:val="header"/>
    <w:basedOn w:val="1"/>
    <w:link w:val="11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footer"/>
    <w:basedOn w:val="1"/>
    <w:link w:val="12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Normal (Web)"/>
    <w:semiHidden/>
    <w:unhideWhenUsed/>
    <w:qFormat/>
    <w:uiPriority w:val="99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character" w:customStyle="1" w:styleId="9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Верхний колонтитул Знак"/>
    <w:basedOn w:val="2"/>
    <w:link w:val="6"/>
    <w:semiHidden/>
    <w:qFormat/>
    <w:uiPriority w:val="99"/>
  </w:style>
  <w:style w:type="character" w:customStyle="1" w:styleId="12">
    <w:name w:val="Нижний колонтитул Знак"/>
    <w:basedOn w:val="2"/>
    <w:link w:val="7"/>
    <w:semiHidden/>
    <w:qFormat/>
    <w:uiPriority w:val="99"/>
  </w:style>
  <w:style w:type="character" w:customStyle="1" w:styleId="13">
    <w:name w:val="Текст сноски Знак"/>
    <w:basedOn w:val="2"/>
    <w:link w:val="5"/>
    <w:semiHidden/>
    <w:qFormat/>
    <w:uiPriority w:val="0"/>
    <w:rPr>
      <w:rFonts w:eastAsia="Times New Roman"/>
      <w:kern w:val="2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3847</Words>
  <Characters>21934</Characters>
  <Lines>182</Lines>
  <Paragraphs>51</Paragraphs>
  <TotalTime>1</TotalTime>
  <ScaleCrop>false</ScaleCrop>
  <LinksUpToDate>false</LinksUpToDate>
  <CharactersWithSpaces>25730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2021-10-16T01:31:00Z</dcterms:created>
  <dc:creator>orlovaa9048851878@gmail.com</dc:creator>
  <cp:lastModifiedBy>OrlovaON</cp:lastModifiedBy>
  <cp:lastPrinted>2021-11-08T12:37:00Z</cp:lastPrinted>
  <dcterms:modified xsi:type="dcterms:W3CDTF">2022-10-26T18:28:26Z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C7807B8C6C3E4B4BA08B9FC6757C7338</vt:lpwstr>
  </property>
</Properties>
</file>